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AEA1" w14:textId="77777777" w:rsidR="00660768" w:rsidRDefault="002F3136">
      <w:pPr>
        <w:pStyle w:val="NurText1"/>
      </w:pPr>
      <w:r>
        <w:t>Düsseldorfer Institut für Dienstrecht</w:t>
      </w:r>
    </w:p>
    <w:p w14:paraId="78193CFD" w14:textId="41BAC251" w:rsidR="00660768" w:rsidRDefault="002F3136">
      <w:pPr>
        <w:pStyle w:val="NurText1"/>
      </w:pPr>
      <w:r>
        <w:t xml:space="preserve">Düsseldorf, den </w:t>
      </w:r>
      <w:r w:rsidR="00191083">
        <w:t>0</w:t>
      </w:r>
      <w:r w:rsidR="00E36827">
        <w:t>2</w:t>
      </w:r>
      <w:r w:rsidR="00191083">
        <w:t>.0</w:t>
      </w:r>
      <w:r w:rsidR="00E36827">
        <w:t>6</w:t>
      </w:r>
      <w:r w:rsidR="00191083">
        <w:t>.2023</w:t>
      </w:r>
    </w:p>
    <w:p w14:paraId="7B45A254" w14:textId="77777777" w:rsidR="00660768" w:rsidRDefault="00660768">
      <w:pPr>
        <w:pStyle w:val="NurText1"/>
      </w:pPr>
    </w:p>
    <w:p w14:paraId="39716A6D" w14:textId="77530AC2" w:rsidR="00660768" w:rsidRDefault="002F3136">
      <w:pPr>
        <w:pStyle w:val="NurText1"/>
        <w:shd w:val="clear" w:color="auto" w:fill="E7E6E6"/>
      </w:pPr>
      <w:r>
        <w:rPr>
          <w:b/>
        </w:rPr>
        <w:t xml:space="preserve">::: Pressemitteilung </w:t>
      </w:r>
      <w:r w:rsidR="00E36827">
        <w:rPr>
          <w:b/>
        </w:rPr>
        <w:t>2</w:t>
      </w:r>
      <w:r>
        <w:rPr>
          <w:b/>
        </w:rPr>
        <w:t>/20</w:t>
      </w:r>
      <w:r w:rsidR="00A850E5">
        <w:rPr>
          <w:b/>
        </w:rPr>
        <w:t>2</w:t>
      </w:r>
      <w:r w:rsidR="00191083">
        <w:rPr>
          <w:b/>
        </w:rPr>
        <w:t>3</w:t>
      </w:r>
      <w:r>
        <w:rPr>
          <w:b/>
        </w:rPr>
        <w:t xml:space="preserve"> :::</w:t>
      </w:r>
    </w:p>
    <w:p w14:paraId="4F0C9F74" w14:textId="77777777" w:rsidR="00660768" w:rsidRDefault="00660768">
      <w:pPr>
        <w:pStyle w:val="NurText1"/>
      </w:pPr>
    </w:p>
    <w:p w14:paraId="324E0666" w14:textId="5FF347BF" w:rsidR="00660768" w:rsidRDefault="008B5247" w:rsidP="0020235C">
      <w:pPr>
        <w:pStyle w:val="NurText1"/>
        <w:rPr>
          <w:b/>
          <w:sz w:val="32"/>
          <w:szCs w:val="32"/>
        </w:rPr>
      </w:pPr>
      <w:r>
        <w:rPr>
          <w:b/>
          <w:sz w:val="32"/>
          <w:szCs w:val="32"/>
        </w:rPr>
        <w:t>Verschläft NRW den Hinweisgeber:innenschutz?</w:t>
      </w:r>
    </w:p>
    <w:p w14:paraId="7658480D" w14:textId="06522B17" w:rsidR="00DE6AA4" w:rsidRDefault="008B5247" w:rsidP="00DE6AA4">
      <w:pPr>
        <w:pStyle w:val="NurText1"/>
      </w:pPr>
      <w:r>
        <w:rPr>
          <w:b/>
          <w:szCs w:val="22"/>
        </w:rPr>
        <w:t>Bundesgesetz in Kraft getreten, Landesrecht zum Whistleblowerschutz fehlt</w:t>
      </w:r>
      <w:r w:rsidR="00CA353C">
        <w:rPr>
          <w:b/>
          <w:szCs w:val="22"/>
        </w:rPr>
        <w:t xml:space="preserve"> noch</w:t>
      </w:r>
    </w:p>
    <w:p w14:paraId="33D10220" w14:textId="77777777" w:rsidR="00660768" w:rsidRDefault="00660768">
      <w:pPr>
        <w:pStyle w:val="NurText1"/>
        <w:rPr>
          <w:rFonts w:asciiTheme="minorHAnsi" w:hAnsiTheme="minorHAnsi" w:cstheme="minorHAnsi"/>
          <w:szCs w:val="22"/>
        </w:rPr>
      </w:pPr>
    </w:p>
    <w:p w14:paraId="0A00B257" w14:textId="36665368" w:rsidR="008B5247" w:rsidRDefault="002F3136" w:rsidP="008B5247">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Düsseldorf. </w:t>
      </w:r>
      <w:r w:rsidR="008F7801">
        <w:rPr>
          <w:rFonts w:asciiTheme="minorHAnsi" w:hAnsiTheme="minorHAnsi" w:cstheme="minorHAnsi"/>
          <w:sz w:val="22"/>
          <w:szCs w:val="22"/>
        </w:rPr>
        <w:t>Das</w:t>
      </w:r>
      <w:r w:rsidR="008B5247">
        <w:rPr>
          <w:rFonts w:asciiTheme="minorHAnsi" w:hAnsiTheme="minorHAnsi" w:cstheme="minorHAnsi"/>
          <w:sz w:val="22"/>
          <w:szCs w:val="22"/>
        </w:rPr>
        <w:t xml:space="preserve"> nach langem Ringen in Bundestag und Bundesrat beschlossene Hinweisgebe</w:t>
      </w:r>
      <w:r w:rsidR="00A06D2E">
        <w:rPr>
          <w:rFonts w:asciiTheme="minorHAnsi" w:hAnsiTheme="minorHAnsi" w:cstheme="minorHAnsi"/>
          <w:sz w:val="22"/>
          <w:szCs w:val="22"/>
        </w:rPr>
        <w:t>r</w:t>
      </w:r>
      <w:r w:rsidR="008B5247">
        <w:rPr>
          <w:rFonts w:asciiTheme="minorHAnsi" w:hAnsiTheme="minorHAnsi" w:cstheme="minorHAnsi"/>
          <w:sz w:val="22"/>
          <w:szCs w:val="22"/>
        </w:rPr>
        <w:t>schutzgesetz (HinSchG) ist am Freitag im Bundesgesetzblatt veröffentlicht worden und tritt mit einer ersten Vorschrift bereits am Samstag, vor allem aber am 2. Juli in Kraft. Es verpflichtet private Beschäftigungsgeber:innen und ebenso Bund und Länder Meldestellen für Rechtsverstöße gegen EU-Recht einzurichten. Regelungen im Beamtenrecht und Vorgaben für Städte und Gemeinden hat der Bund nicht beschlossen. Hier ist der Landtag zuständig. E</w:t>
      </w:r>
      <w:r w:rsidR="00CA353C">
        <w:rPr>
          <w:rFonts w:asciiTheme="minorHAnsi" w:hAnsiTheme="minorHAnsi" w:cstheme="minorHAnsi"/>
          <w:sz w:val="22"/>
          <w:szCs w:val="22"/>
        </w:rPr>
        <w:t>r</w:t>
      </w:r>
      <w:r w:rsidR="008B5247">
        <w:rPr>
          <w:rFonts w:asciiTheme="minorHAnsi" w:hAnsiTheme="minorHAnsi" w:cstheme="minorHAnsi"/>
          <w:sz w:val="22"/>
          <w:szCs w:val="22"/>
        </w:rPr>
        <w:t xml:space="preserve"> hat das Thema bislang nicht auf die Tagesordnung gesetzt, bemängelt Robert Hotstegs vom Düsseldorfer Institut für Dienstrecht (difdi).</w:t>
      </w:r>
    </w:p>
    <w:p w14:paraId="72A6B434" w14:textId="77777777" w:rsidR="008B5247" w:rsidRDefault="008B5247" w:rsidP="008B5247">
      <w:pPr>
        <w:pStyle w:val="lsz"/>
        <w:spacing w:beforeAutospacing="0" w:after="0" w:afterAutospacing="0"/>
        <w:jc w:val="both"/>
        <w:rPr>
          <w:rFonts w:asciiTheme="minorHAnsi" w:hAnsiTheme="minorHAnsi" w:cstheme="minorHAnsi"/>
          <w:sz w:val="22"/>
          <w:szCs w:val="22"/>
        </w:rPr>
      </w:pPr>
    </w:p>
    <w:p w14:paraId="67B36F62" w14:textId="752EE6A7" w:rsidR="008F7801" w:rsidRDefault="008B5247" w:rsidP="008B5247">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Seit über drei Jahren ist die entsprechende EU-Richtlinie bereits bekannt, seit Dezember 2021 ist sie sogar zwingend durch die Mitgliedsstaaten umzusetzen. W</w:t>
      </w:r>
      <w:r w:rsidR="00CA353C">
        <w:rPr>
          <w:rFonts w:asciiTheme="minorHAnsi" w:hAnsiTheme="minorHAnsi" w:cstheme="minorHAnsi"/>
          <w:sz w:val="22"/>
          <w:szCs w:val="22"/>
        </w:rPr>
        <w:t>ei</w:t>
      </w:r>
      <w:r>
        <w:rPr>
          <w:rFonts w:asciiTheme="minorHAnsi" w:hAnsiTheme="minorHAnsi" w:cstheme="minorHAnsi"/>
          <w:sz w:val="22"/>
          <w:szCs w:val="22"/>
        </w:rPr>
        <w:t>l das bislang nicht geschehen ist, hat die Europäische Kommission ein Vertragsverletzungsverfahren gegen die Bundesrepublik eingeleitet.</w:t>
      </w:r>
    </w:p>
    <w:p w14:paraId="33CA923A" w14:textId="77777777" w:rsidR="008B5247" w:rsidRDefault="008B5247" w:rsidP="008B5247">
      <w:pPr>
        <w:pStyle w:val="lsz"/>
        <w:spacing w:beforeAutospacing="0" w:after="0" w:afterAutospacing="0"/>
        <w:jc w:val="both"/>
        <w:rPr>
          <w:rFonts w:asciiTheme="minorHAnsi" w:hAnsiTheme="minorHAnsi" w:cstheme="minorHAnsi"/>
          <w:sz w:val="22"/>
          <w:szCs w:val="22"/>
        </w:rPr>
      </w:pPr>
    </w:p>
    <w:p w14:paraId="4B2FF67D" w14:textId="2A00F4D9" w:rsidR="008B5247" w:rsidRDefault="008B5247" w:rsidP="008B5247">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„Dieses Verfahren könnte auch deshalb Sanktionen nach sich ziehen, weil die Bundesländer ihre eigenen Hausaufgaben </w:t>
      </w:r>
      <w:r w:rsidR="00CA353C">
        <w:rPr>
          <w:rFonts w:asciiTheme="minorHAnsi" w:hAnsiTheme="minorHAnsi" w:cstheme="minorHAnsi"/>
          <w:sz w:val="22"/>
          <w:szCs w:val="22"/>
        </w:rPr>
        <w:t>noch</w:t>
      </w:r>
      <w:r>
        <w:rPr>
          <w:rFonts w:asciiTheme="minorHAnsi" w:hAnsiTheme="minorHAnsi" w:cstheme="minorHAnsi"/>
          <w:sz w:val="22"/>
          <w:szCs w:val="22"/>
        </w:rPr>
        <w:t xml:space="preserve"> nicht gemacht haben.“ erläutert Verwaltungsrechtler Robert Hotstegs. </w:t>
      </w:r>
      <w:r w:rsidR="00A03F9B">
        <w:rPr>
          <w:rFonts w:asciiTheme="minorHAnsi" w:hAnsiTheme="minorHAnsi" w:cstheme="minorHAnsi"/>
          <w:sz w:val="22"/>
          <w:szCs w:val="22"/>
        </w:rPr>
        <w:t>Regelt NRW nicht den Zugang der Landesbeamtinnen und -beamten zu internen Meldestellen und schafft es keine Regelung für die Städte und Gemeinden, besteht die Vertragsverletzung weiter fort. 61.600,- € fordert die EU-Kommission für jeden Tag ein.</w:t>
      </w:r>
    </w:p>
    <w:p w14:paraId="2AE16174" w14:textId="77777777" w:rsidR="00A03F9B" w:rsidRDefault="00A03F9B" w:rsidP="008B5247">
      <w:pPr>
        <w:pStyle w:val="lsz"/>
        <w:spacing w:beforeAutospacing="0" w:after="0" w:afterAutospacing="0"/>
        <w:jc w:val="both"/>
        <w:rPr>
          <w:rFonts w:asciiTheme="minorHAnsi" w:hAnsiTheme="minorHAnsi" w:cstheme="minorHAnsi"/>
          <w:sz w:val="22"/>
          <w:szCs w:val="22"/>
        </w:rPr>
      </w:pPr>
    </w:p>
    <w:p w14:paraId="5D1DEDE9" w14:textId="6E0F7978" w:rsidR="00A03F9B" w:rsidRDefault="00A03F9B" w:rsidP="008B5247">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„Aber nicht nur der Druck aus Brüssel sollte den Landtag in Bewegung setzen, auch der Nutzen interner Meldestellen. Denn bestehen besser geschützte Möglichkeiten intern Verstöße etwa gegen den Umweltschutz oder das Steuer- oder Vergaberecht zu melden, könnten diese früher abgestellt werden.“ </w:t>
      </w:r>
      <w:r w:rsidR="00CA353C">
        <w:rPr>
          <w:rFonts w:asciiTheme="minorHAnsi" w:hAnsiTheme="minorHAnsi" w:cstheme="minorHAnsi"/>
          <w:sz w:val="22"/>
          <w:szCs w:val="22"/>
        </w:rPr>
        <w:t>s</w:t>
      </w:r>
      <w:r>
        <w:rPr>
          <w:rFonts w:asciiTheme="minorHAnsi" w:hAnsiTheme="minorHAnsi" w:cstheme="minorHAnsi"/>
          <w:sz w:val="22"/>
          <w:szCs w:val="22"/>
        </w:rPr>
        <w:t>o Hotstegs weiter.</w:t>
      </w:r>
    </w:p>
    <w:p w14:paraId="0CE39F0B" w14:textId="3609F8DE" w:rsidR="00410B69" w:rsidRDefault="00410B69">
      <w:pPr>
        <w:pStyle w:val="lsz"/>
        <w:spacing w:beforeAutospacing="0" w:after="0" w:afterAutospacing="0"/>
        <w:jc w:val="both"/>
        <w:rPr>
          <w:rFonts w:asciiTheme="minorHAnsi" w:hAnsiTheme="minorHAnsi" w:cstheme="minorHAnsi"/>
          <w:sz w:val="22"/>
          <w:szCs w:val="22"/>
        </w:rPr>
      </w:pPr>
    </w:p>
    <w:p w14:paraId="4268F0DF" w14:textId="74378F81" w:rsidR="00A03F9B" w:rsidRDefault="00A03F9B">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Nach derzeitigem Stand trete nun ein Flickenteppich in Kraft, wonach in Bundes- und Landesbehörden Meldungen geschützt seien</w:t>
      </w:r>
      <w:r w:rsidR="00CA353C">
        <w:rPr>
          <w:rFonts w:asciiTheme="minorHAnsi" w:hAnsiTheme="minorHAnsi" w:cstheme="minorHAnsi"/>
          <w:sz w:val="22"/>
          <w:szCs w:val="22"/>
        </w:rPr>
        <w:t>. D</w:t>
      </w:r>
      <w:r>
        <w:rPr>
          <w:rFonts w:asciiTheme="minorHAnsi" w:hAnsiTheme="minorHAnsi" w:cstheme="minorHAnsi"/>
          <w:sz w:val="22"/>
          <w:szCs w:val="22"/>
        </w:rPr>
        <w:t xml:space="preserve">as Verfahren in Städten und Gemeinden, sowie deren Stadtwerken und Gesellschaften </w:t>
      </w:r>
      <w:r w:rsidR="00CA353C">
        <w:rPr>
          <w:rFonts w:asciiTheme="minorHAnsi" w:hAnsiTheme="minorHAnsi" w:cstheme="minorHAnsi"/>
          <w:sz w:val="22"/>
          <w:szCs w:val="22"/>
        </w:rPr>
        <w:t>sei aber noch ungeklärt.</w:t>
      </w:r>
    </w:p>
    <w:p w14:paraId="13591236" w14:textId="77777777" w:rsidR="00660768" w:rsidRDefault="00660768">
      <w:pPr>
        <w:pStyle w:val="lsz"/>
        <w:spacing w:beforeAutospacing="0" w:after="0" w:afterAutospacing="0"/>
        <w:jc w:val="both"/>
        <w:rPr>
          <w:rFonts w:asciiTheme="minorHAnsi" w:hAnsiTheme="minorHAnsi" w:cstheme="minorHAnsi"/>
          <w:sz w:val="22"/>
          <w:szCs w:val="22"/>
        </w:rPr>
      </w:pPr>
    </w:p>
    <w:p w14:paraId="0C485ED8" w14:textId="77777777" w:rsidR="00660768" w:rsidRDefault="002F3136">
      <w:pPr>
        <w:pStyle w:val="NurText1"/>
        <w:shd w:val="clear" w:color="auto" w:fill="E7E6E6"/>
      </w:pPr>
      <w:r>
        <w:rPr>
          <w:b/>
        </w:rPr>
        <w:t>::: Kontakt :::</w:t>
      </w:r>
    </w:p>
    <w:p w14:paraId="4F6B4AE7" w14:textId="77777777" w:rsidR="00660768" w:rsidRDefault="00660768">
      <w:pPr>
        <w:pStyle w:val="NurText1"/>
        <w:rPr>
          <w:szCs w:val="22"/>
        </w:rPr>
      </w:pPr>
    </w:p>
    <w:p w14:paraId="7F045874" w14:textId="77777777" w:rsidR="00FA3DF4" w:rsidRDefault="00FA3DF4" w:rsidP="00A850E5">
      <w:pPr>
        <w:pStyle w:val="NurText"/>
        <w:rPr>
          <w:sz w:val="22"/>
          <w:szCs w:val="22"/>
        </w:rPr>
      </w:pPr>
      <w:r>
        <w:rPr>
          <w:sz w:val="22"/>
          <w:szCs w:val="22"/>
        </w:rPr>
        <w:t>Düsseldorfer Institut für Dienstrecht gUG (haftungsbeschränkt)</w:t>
      </w:r>
    </w:p>
    <w:p w14:paraId="5DDBD8D2" w14:textId="1D451A08" w:rsidR="00A850E5" w:rsidRDefault="00A850E5" w:rsidP="00A850E5">
      <w:pPr>
        <w:pStyle w:val="NurText"/>
        <w:rPr>
          <w:sz w:val="22"/>
          <w:szCs w:val="22"/>
        </w:rPr>
      </w:pPr>
      <w:r>
        <w:rPr>
          <w:sz w:val="22"/>
          <w:szCs w:val="22"/>
        </w:rPr>
        <w:t>Rechtsanwalt Robert Hotstegs</w:t>
      </w:r>
    </w:p>
    <w:p w14:paraId="5619D2F8" w14:textId="77777777" w:rsidR="00A850E5" w:rsidRDefault="00A850E5" w:rsidP="00A850E5">
      <w:pPr>
        <w:pStyle w:val="NurText"/>
        <w:rPr>
          <w:sz w:val="22"/>
          <w:szCs w:val="22"/>
        </w:rPr>
      </w:pPr>
      <w:r>
        <w:rPr>
          <w:sz w:val="22"/>
          <w:szCs w:val="22"/>
        </w:rPr>
        <w:t>T: 0211 / 497657-16</w:t>
      </w:r>
    </w:p>
    <w:p w14:paraId="37BF5667" w14:textId="0FE41266" w:rsidR="00A850E5" w:rsidRDefault="00A850E5" w:rsidP="00A850E5">
      <w:pPr>
        <w:pStyle w:val="NurText"/>
        <w:rPr>
          <w:sz w:val="22"/>
          <w:szCs w:val="22"/>
        </w:rPr>
      </w:pPr>
      <w:r>
        <w:rPr>
          <w:sz w:val="22"/>
          <w:szCs w:val="22"/>
        </w:rPr>
        <w:t xml:space="preserve">E: </w:t>
      </w:r>
      <w:r w:rsidR="00FA3DF4">
        <w:rPr>
          <w:sz w:val="22"/>
          <w:szCs w:val="22"/>
        </w:rPr>
        <w:t>buero@difdi.eu</w:t>
      </w:r>
    </w:p>
    <w:p w14:paraId="4E9431A0" w14:textId="77777777" w:rsidR="00660768" w:rsidRDefault="002F3136">
      <w:pPr>
        <w:pStyle w:val="NurText"/>
        <w:rPr>
          <w:sz w:val="22"/>
          <w:szCs w:val="22"/>
        </w:rPr>
      </w:pPr>
      <w:r>
        <w:rPr>
          <w:sz w:val="22"/>
          <w:szCs w:val="22"/>
        </w:rPr>
        <w:t>www.difdi.eu</w:t>
      </w:r>
    </w:p>
    <w:p w14:paraId="26409760" w14:textId="77777777" w:rsidR="00660768" w:rsidRDefault="00660768">
      <w:pPr>
        <w:pStyle w:val="NurText1"/>
        <w:rPr>
          <w:szCs w:val="22"/>
        </w:rPr>
      </w:pPr>
    </w:p>
    <w:p w14:paraId="16FC05F5" w14:textId="77777777" w:rsidR="00660768" w:rsidRDefault="002F3136">
      <w:pPr>
        <w:pStyle w:val="NurText1"/>
        <w:shd w:val="clear" w:color="auto" w:fill="E7E6E6"/>
      </w:pPr>
      <w:r>
        <w:rPr>
          <w:b/>
        </w:rPr>
        <w:t>::: das Düsseldorfer Institut für Dienstrecht :::</w:t>
      </w:r>
    </w:p>
    <w:p w14:paraId="5D7D57CD" w14:textId="77777777" w:rsidR="00660768" w:rsidRDefault="00660768">
      <w:pPr>
        <w:pStyle w:val="NurText1"/>
      </w:pPr>
    </w:p>
    <w:p w14:paraId="2C9E3E79" w14:textId="0855ACC6" w:rsidR="00660768" w:rsidRPr="00C32DF8" w:rsidRDefault="002F3136">
      <w:pPr>
        <w:pStyle w:val="NurText1"/>
        <w:rPr>
          <w:rFonts w:asciiTheme="minorHAnsi" w:hAnsiTheme="minorHAnsi" w:cstheme="minorHAnsi"/>
          <w:color w:val="auto"/>
        </w:rPr>
      </w:pPr>
      <w:r>
        <w:t xml:space="preserve">Das Düsseldorfer Institut für Dienstrecht (difdi) </w:t>
      </w:r>
      <w:r w:rsidR="00213769">
        <w:t>arbeitet</w:t>
      </w:r>
      <w:r>
        <w:t xml:space="preserve"> als interdisziplinäres Forum. </w:t>
      </w:r>
      <w:r w:rsidR="00C32DF8">
        <w:t xml:space="preserve">Es forscht in sogenannten „Laboren“, diskutiert in Arbeitskreisen und belebt Diskussionen u.a. durch </w:t>
      </w:r>
      <w:r w:rsidR="00C32DF8" w:rsidRPr="00C32DF8">
        <w:rPr>
          <w:rFonts w:asciiTheme="minorHAnsi" w:hAnsiTheme="minorHAnsi" w:cstheme="minorHAnsi"/>
          <w:color w:val="auto"/>
        </w:rPr>
        <w:t>Aufsatzwettbewerbe.</w:t>
      </w:r>
      <w:r w:rsidR="00371B13">
        <w:rPr>
          <w:rFonts w:asciiTheme="minorHAnsi" w:hAnsiTheme="minorHAnsi" w:cstheme="minorHAnsi"/>
          <w:color w:val="auto"/>
        </w:rPr>
        <w:t xml:space="preserve"> Das </w:t>
      </w:r>
      <w:r w:rsidR="00371B13">
        <w:rPr>
          <w:rFonts w:asciiTheme="minorHAnsi" w:hAnsiTheme="minorHAnsi" w:cstheme="minorHAnsi"/>
          <w:i/>
          <w:color w:val="auto"/>
        </w:rPr>
        <w:t xml:space="preserve">difdi </w:t>
      </w:r>
      <w:r w:rsidR="00371B13">
        <w:rPr>
          <w:rFonts w:asciiTheme="minorHAnsi" w:hAnsiTheme="minorHAnsi" w:cstheme="minorHAnsi"/>
          <w:color w:val="auto"/>
        </w:rPr>
        <w:t>entwickelt und fördert</w:t>
      </w:r>
      <w:r w:rsidR="00371B13" w:rsidRPr="00371B13">
        <w:rPr>
          <w:rFonts w:asciiTheme="minorHAnsi" w:hAnsiTheme="minorHAnsi" w:cstheme="minorHAnsi"/>
          <w:color w:val="auto"/>
        </w:rPr>
        <w:t xml:space="preserve"> Bildungsmaßnahmen in den Bereichen Staatsrecht, Dienstrecht und Verwaltungsrecht</w:t>
      </w:r>
      <w:r w:rsidR="00371B13">
        <w:rPr>
          <w:rFonts w:asciiTheme="minorHAnsi" w:hAnsiTheme="minorHAnsi" w:cstheme="minorHAnsi"/>
          <w:color w:val="auto"/>
        </w:rPr>
        <w:t>.</w:t>
      </w:r>
    </w:p>
    <w:p w14:paraId="36D1EAB8" w14:textId="2E265908" w:rsidR="00C32DF8" w:rsidRPr="00C32DF8" w:rsidRDefault="00C32DF8">
      <w:pPr>
        <w:pStyle w:val="NurText1"/>
        <w:rPr>
          <w:rFonts w:asciiTheme="minorHAnsi" w:hAnsiTheme="minorHAnsi" w:cstheme="minorHAnsi"/>
          <w:color w:val="auto"/>
        </w:rPr>
      </w:pPr>
    </w:p>
    <w:p w14:paraId="103246A0" w14:textId="73DEFEE2" w:rsidR="00C32DF8" w:rsidRPr="00C32DF8" w:rsidRDefault="00C32DF8">
      <w:pPr>
        <w:pStyle w:val="NurText1"/>
        <w:rPr>
          <w:rFonts w:asciiTheme="minorHAnsi" w:hAnsiTheme="minorHAnsi" w:cstheme="minorHAnsi"/>
          <w:color w:val="auto"/>
        </w:rPr>
      </w:pPr>
      <w:r w:rsidRPr="00C32DF8">
        <w:rPr>
          <w:rFonts w:asciiTheme="minorHAnsi" w:hAnsiTheme="minorHAnsi" w:cstheme="minorHAnsi"/>
          <w:color w:val="auto"/>
          <w:shd w:val="clear" w:color="auto" w:fill="FFFFFF"/>
        </w:rPr>
        <w:t xml:space="preserve">Transparenz ist </w:t>
      </w:r>
      <w:r>
        <w:rPr>
          <w:rFonts w:asciiTheme="minorHAnsi" w:hAnsiTheme="minorHAnsi" w:cstheme="minorHAnsi"/>
          <w:color w:val="auto"/>
          <w:shd w:val="clear" w:color="auto" w:fill="FFFFFF"/>
        </w:rPr>
        <w:t>für die gemeinnützige Arbeit</w:t>
      </w:r>
      <w:r w:rsidRPr="00C32DF8">
        <w:rPr>
          <w:rFonts w:asciiTheme="minorHAnsi" w:hAnsiTheme="minorHAnsi" w:cstheme="minorHAnsi"/>
          <w:color w:val="auto"/>
          <w:shd w:val="clear" w:color="auto" w:fill="FFFFFF"/>
        </w:rPr>
        <w:t xml:space="preserve"> wichtig. Deshalb ha</w:t>
      </w:r>
      <w:r>
        <w:rPr>
          <w:rFonts w:asciiTheme="minorHAnsi" w:hAnsiTheme="minorHAnsi" w:cstheme="minorHAnsi"/>
          <w:color w:val="auto"/>
          <w:shd w:val="clear" w:color="auto" w:fill="FFFFFF"/>
        </w:rPr>
        <w:t xml:space="preserve">t sich das </w:t>
      </w:r>
      <w:r w:rsidRPr="00371B13">
        <w:rPr>
          <w:rFonts w:asciiTheme="minorHAnsi" w:hAnsiTheme="minorHAnsi" w:cstheme="minorHAnsi"/>
          <w:i/>
          <w:color w:val="auto"/>
          <w:shd w:val="clear" w:color="auto" w:fill="FFFFFF"/>
        </w:rPr>
        <w:t>difdi</w:t>
      </w:r>
      <w:r w:rsidRPr="00C32DF8">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 xml:space="preserve">mit seiner Gründung </w:t>
      </w:r>
      <w:r w:rsidRPr="00C32DF8">
        <w:rPr>
          <w:rFonts w:asciiTheme="minorHAnsi" w:hAnsiTheme="minorHAnsi" w:cstheme="minorHAnsi"/>
          <w:color w:val="auto"/>
          <w:shd w:val="clear" w:color="auto" w:fill="FFFFFF"/>
        </w:rPr>
        <w:t xml:space="preserve">der </w:t>
      </w:r>
      <w:r w:rsidRPr="00C32DF8">
        <w:rPr>
          <w:rFonts w:asciiTheme="minorHAnsi" w:hAnsiTheme="minorHAnsi" w:cstheme="minorHAnsi"/>
          <w:i/>
          <w:color w:val="auto"/>
          <w:shd w:val="clear" w:color="auto" w:fill="FFFFFF"/>
        </w:rPr>
        <w:t>Initiative Transparente Zivilgesellschaft</w:t>
      </w:r>
      <w:r w:rsidRPr="00C32DF8">
        <w:rPr>
          <w:rFonts w:asciiTheme="minorHAnsi" w:hAnsiTheme="minorHAnsi" w:cstheme="minorHAnsi"/>
          <w:color w:val="auto"/>
          <w:shd w:val="clear" w:color="auto" w:fill="FFFFFF"/>
        </w:rPr>
        <w:t xml:space="preserve"> angeschlossen.</w:t>
      </w:r>
      <w:r w:rsidR="00213769">
        <w:rPr>
          <w:rFonts w:asciiTheme="minorHAnsi" w:hAnsiTheme="minorHAnsi" w:cstheme="minorHAnsi"/>
          <w:color w:val="auto"/>
          <w:shd w:val="clear" w:color="auto" w:fill="FFFFFF"/>
        </w:rPr>
        <w:t xml:space="preserve"> Infos: difdi.eu &gt; das difdi &gt; Transparenz.</w:t>
      </w:r>
    </w:p>
    <w:sectPr w:rsidR="00C32DF8" w:rsidRPr="00C32DF8">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68"/>
    <w:rsid w:val="00004AC4"/>
    <w:rsid w:val="00034DC4"/>
    <w:rsid w:val="000D46EA"/>
    <w:rsid w:val="00191083"/>
    <w:rsid w:val="0020235C"/>
    <w:rsid w:val="00213769"/>
    <w:rsid w:val="002220AE"/>
    <w:rsid w:val="002F3136"/>
    <w:rsid w:val="00371B13"/>
    <w:rsid w:val="00381CEF"/>
    <w:rsid w:val="00410B69"/>
    <w:rsid w:val="004A527E"/>
    <w:rsid w:val="00660768"/>
    <w:rsid w:val="006607AB"/>
    <w:rsid w:val="00700906"/>
    <w:rsid w:val="00755847"/>
    <w:rsid w:val="008B5247"/>
    <w:rsid w:val="008D1DE0"/>
    <w:rsid w:val="008F7801"/>
    <w:rsid w:val="00971CB7"/>
    <w:rsid w:val="00A0028F"/>
    <w:rsid w:val="00A03F9B"/>
    <w:rsid w:val="00A06D2E"/>
    <w:rsid w:val="00A3010E"/>
    <w:rsid w:val="00A565EC"/>
    <w:rsid w:val="00A850E5"/>
    <w:rsid w:val="00B65F00"/>
    <w:rsid w:val="00C143AC"/>
    <w:rsid w:val="00C32DF8"/>
    <w:rsid w:val="00CA353C"/>
    <w:rsid w:val="00DE6AA4"/>
    <w:rsid w:val="00E11391"/>
    <w:rsid w:val="00E36827"/>
    <w:rsid w:val="00E52A5F"/>
    <w:rsid w:val="00E872E6"/>
    <w:rsid w:val="00E9038F"/>
    <w:rsid w:val="00EC106F"/>
    <w:rsid w:val="00ED2D2E"/>
    <w:rsid w:val="00EE470B"/>
    <w:rsid w:val="00F07430"/>
    <w:rsid w:val="00F13153"/>
    <w:rsid w:val="00F87067"/>
    <w:rsid w:val="00FA3DF4"/>
    <w:rsid w:val="00FB592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E9A6"/>
  <w15:docId w15:val="{98CADFC0-64EC-411B-A9BD-96A9BBE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line="259" w:lineRule="auto"/>
    </w:pPr>
    <w:rPr>
      <w:rFonts w:ascii="Calibri" w:eastAsia="SimSun" w:hAnsi="Calibri" w:cs="font293"/>
      <w:color w:val="00000A"/>
      <w:sz w:val="22"/>
      <w:szCs w:val="22"/>
      <w:lang w:eastAsia="ar-SA"/>
    </w:rPr>
  </w:style>
  <w:style w:type="paragraph" w:styleId="berschrift1">
    <w:name w:val="heading 1"/>
    <w:basedOn w:val="berschrift"/>
    <w:qFormat/>
    <w:pPr>
      <w:outlineLvl w:val="0"/>
    </w:pPr>
  </w:style>
  <w:style w:type="paragraph" w:styleId="berschrift2">
    <w:name w:val="heading 2"/>
    <w:basedOn w:val="berschrift"/>
    <w:qFormat/>
    <w:pPr>
      <w:outlineLvl w:val="1"/>
    </w:pPr>
  </w:style>
  <w:style w:type="paragraph" w:styleId="berschrift3">
    <w:name w:val="heading 3"/>
    <w:basedOn w:val="Standard"/>
    <w:uiPriority w:val="9"/>
    <w:qFormat/>
    <w:rsid w:val="00AD0F09"/>
    <w:pPr>
      <w:suppressAutoHyphens w:val="0"/>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Internetlink">
    <w:name w:val="Internetlink"/>
    <w:basedOn w:val="Absatz-Standardschriftart"/>
    <w:uiPriority w:val="99"/>
    <w:semiHidden/>
    <w:unhideWhenUsed/>
    <w:rsid w:val="009543F3"/>
    <w:rPr>
      <w:color w:val="0000FF"/>
      <w:u w:val="single"/>
    </w:rPr>
  </w:style>
  <w:style w:type="character" w:customStyle="1" w:styleId="NurTextZchn">
    <w:name w:val="Nur Text Zchn"/>
    <w:basedOn w:val="Absatz-Standardschriftart1"/>
    <w:link w:val="NurText"/>
    <w:uiPriority w:val="99"/>
    <w:qFormat/>
    <w:rPr>
      <w:rFonts w:ascii="Calibri" w:hAnsi="Calibri"/>
      <w:szCs w:val="21"/>
    </w:rPr>
  </w:style>
  <w:style w:type="character" w:customStyle="1" w:styleId="SprechblasentextZchn">
    <w:name w:val="Sprechblasentext Zchn"/>
    <w:basedOn w:val="Absatz-Standardschriftart1"/>
    <w:qFormat/>
    <w:rPr>
      <w:rFonts w:ascii="Segoe UI" w:hAnsi="Segoe UI" w:cs="Segoe UI"/>
      <w:sz w:val="18"/>
      <w:szCs w:val="18"/>
    </w:rPr>
  </w:style>
  <w:style w:type="character" w:customStyle="1" w:styleId="NurTextZchn1">
    <w:name w:val="Nur Text Zchn1"/>
    <w:basedOn w:val="Absatz-Standardschriftart"/>
    <w:uiPriority w:val="99"/>
    <w:semiHidden/>
    <w:qFormat/>
    <w:rsid w:val="00AD0F09"/>
    <w:rPr>
      <w:rFonts w:ascii="Courier New" w:eastAsia="SimSun" w:hAnsi="Courier New" w:cs="Courier New"/>
      <w:lang w:eastAsia="ar-SA"/>
    </w:rPr>
  </w:style>
  <w:style w:type="character" w:customStyle="1" w:styleId="berschrift3Zchn">
    <w:name w:val="Überschrift 3 Zchn"/>
    <w:basedOn w:val="Absatz-Standardschriftart"/>
    <w:uiPriority w:val="9"/>
    <w:qFormat/>
    <w:rsid w:val="00AD0F09"/>
    <w:rPr>
      <w:b/>
      <w:bCs/>
      <w:sz w:val="27"/>
      <w:szCs w:val="27"/>
    </w:rPr>
  </w:style>
  <w:style w:type="character" w:styleId="Fett">
    <w:name w:val="Strong"/>
    <w:uiPriority w:val="22"/>
    <w:qFormat/>
    <w:rsid w:val="00FD1711"/>
    <w:rPr>
      <w:b/>
      <w:bCs/>
    </w:rPr>
  </w:style>
  <w:style w:type="character" w:customStyle="1" w:styleId="ListLabel1">
    <w:name w:val="ListLabel 1"/>
    <w:qFormat/>
    <w:rPr>
      <w:rFonts w:cs="Courier New"/>
    </w:rPr>
  </w:style>
  <w:style w:type="character" w:customStyle="1" w:styleId="ListLabel2">
    <w:name w:val="ListLabel 2"/>
    <w:qFormat/>
    <w:rPr>
      <w:rFonts w:eastAsia="Times New Roman" w:cs="Calibri"/>
    </w:rPr>
  </w:style>
  <w:style w:type="character" w:customStyle="1" w:styleId="st">
    <w:name w:val="st"/>
    <w:qFormat/>
    <w:rsid w:val="00EE1DDF"/>
  </w:style>
  <w:style w:type="character" w:customStyle="1" w:styleId="Betont">
    <w:name w:val="Betont"/>
    <w:uiPriority w:val="20"/>
    <w:qFormat/>
    <w:rsid w:val="00EE1DDF"/>
    <w:rPr>
      <w:i/>
      <w:iCs/>
    </w:rPr>
  </w:style>
  <w:style w:type="paragraph" w:customStyle="1" w:styleId="berschrift">
    <w:name w:val="Überschrift"/>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Mangal"/>
    </w:rPr>
  </w:style>
  <w:style w:type="paragraph" w:customStyle="1" w:styleId="Beschriftung1">
    <w:name w:val="Beschriftung1"/>
    <w:basedOn w:val="Standard"/>
    <w:qFormat/>
    <w:pPr>
      <w:suppressLineNumbers/>
      <w:spacing w:before="120" w:after="120"/>
    </w:pPr>
    <w:rPr>
      <w:rFonts w:cs="Mangal"/>
      <w:i/>
      <w:iCs/>
      <w:sz w:val="24"/>
      <w:szCs w:val="24"/>
    </w:rPr>
  </w:style>
  <w:style w:type="paragraph" w:customStyle="1" w:styleId="NurText1">
    <w:name w:val="Nur Text1"/>
    <w:basedOn w:val="Standard"/>
    <w:qFormat/>
    <w:pPr>
      <w:spacing w:after="0" w:line="100" w:lineRule="atLeast"/>
    </w:pPr>
    <w:rPr>
      <w:szCs w:val="21"/>
    </w:rPr>
  </w:style>
  <w:style w:type="paragraph" w:customStyle="1" w:styleId="Sprechblasentext1">
    <w:name w:val="Sprechblasentext1"/>
    <w:basedOn w:val="Standard"/>
    <w:qFormat/>
    <w:pPr>
      <w:spacing w:after="0" w:line="100" w:lineRule="atLeast"/>
    </w:pPr>
    <w:rPr>
      <w:rFonts w:ascii="Segoe UI" w:hAnsi="Segoe UI" w:cs="Segoe UI"/>
      <w:sz w:val="18"/>
      <w:szCs w:val="18"/>
    </w:rPr>
  </w:style>
  <w:style w:type="paragraph" w:styleId="NurText">
    <w:name w:val="Plain Text"/>
    <w:basedOn w:val="Standard"/>
    <w:link w:val="NurTextZchn"/>
    <w:uiPriority w:val="99"/>
    <w:unhideWhenUsed/>
    <w:qFormat/>
    <w:rsid w:val="00AD0F09"/>
    <w:pPr>
      <w:suppressAutoHyphens w:val="0"/>
      <w:spacing w:after="0" w:line="240" w:lineRule="auto"/>
    </w:pPr>
    <w:rPr>
      <w:rFonts w:eastAsia="Times New Roman" w:cs="Times New Roman"/>
      <w:sz w:val="20"/>
      <w:szCs w:val="21"/>
      <w:lang w:eastAsia="de-DE"/>
    </w:rPr>
  </w:style>
  <w:style w:type="paragraph" w:styleId="StandardWeb">
    <w:name w:val="Normal (Web)"/>
    <w:basedOn w:val="Standard"/>
    <w:uiPriority w:val="99"/>
    <w:unhideWhenUsed/>
    <w:qFormat/>
    <w:rsid w:val="00AD0F09"/>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sz">
    <w:name w:val="lsz"/>
    <w:basedOn w:val="Standard"/>
    <w:qFormat/>
    <w:rsid w:val="007500F5"/>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rueberschrift">
    <w:name w:val="lrueberschrift"/>
    <w:basedOn w:val="Standard"/>
    <w:qFormat/>
    <w:rsid w:val="00FD1711"/>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Quotations">
    <w:name w:val="Quotations"/>
    <w:basedOn w:val="Standard"/>
    <w:qFormat/>
  </w:style>
  <w:style w:type="paragraph" w:styleId="Titel">
    <w:name w:val="Title"/>
    <w:basedOn w:val="berschrift"/>
    <w:qFormat/>
  </w:style>
  <w:style w:type="paragraph" w:styleId="Untertitel">
    <w:name w:val="Subtitle"/>
    <w:basedOn w:val="berschrift"/>
    <w:qFormat/>
  </w:style>
  <w:style w:type="table" w:styleId="Tabellenraster">
    <w:name w:val="Table Grid"/>
    <w:basedOn w:val="NormaleTabelle"/>
    <w:uiPriority w:val="59"/>
    <w:rsid w:val="002A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034DC4"/>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034DC4"/>
    <w:rPr>
      <w:rFonts w:ascii="Segoe UI" w:eastAsia="SimSun" w:hAnsi="Segoe UI" w:cs="Segoe UI"/>
      <w:color w:val="00000A"/>
      <w:sz w:val="18"/>
      <w:szCs w:val="18"/>
      <w:lang w:eastAsia="ar-SA"/>
    </w:rPr>
  </w:style>
  <w:style w:type="character" w:styleId="Hyperlink">
    <w:name w:val="Hyperlink"/>
    <w:basedOn w:val="Absatz-Standardschriftart"/>
    <w:uiPriority w:val="99"/>
    <w:unhideWhenUsed/>
    <w:rsid w:val="00FA3DF4"/>
    <w:rPr>
      <w:color w:val="0000FF" w:themeColor="hyperlink"/>
      <w:u w:val="single"/>
    </w:rPr>
  </w:style>
  <w:style w:type="character" w:styleId="NichtaufgelsteErwhnung">
    <w:name w:val="Unresolved Mention"/>
    <w:basedOn w:val="Absatz-Standardschriftart"/>
    <w:uiPriority w:val="99"/>
    <w:semiHidden/>
    <w:unhideWhenUsed/>
    <w:rsid w:val="00FA3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2023-0390-4FCC-A449-10B60F4D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Hotstegs Rechtsanwaltsgesellschaft</dc:creator>
  <cp:lastModifiedBy>Robert Hotstegs</cp:lastModifiedBy>
  <cp:revision>3</cp:revision>
  <cp:lastPrinted>2023-05-04T10:13:00Z</cp:lastPrinted>
  <dcterms:created xsi:type="dcterms:W3CDTF">2023-06-02T14:58:00Z</dcterms:created>
  <dcterms:modified xsi:type="dcterms:W3CDTF">2023-06-02T15:33:00Z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